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line="276" w:lineRule="auto"/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hd w:fill="ffffff" w:val="clear"/>
        <w:spacing w:line="276" w:lineRule="auto"/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PLANO DE DISCIPLINA</w:t>
      </w:r>
    </w:p>
    <w:p w:rsidR="00000000" w:rsidDel="00000000" w:rsidP="00000000" w:rsidRDefault="00000000" w:rsidRPr="00000000" w14:paraId="00000003">
      <w:pPr>
        <w:shd w:fill="ffffff" w:val="clear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784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2552"/>
        <w:gridCol w:w="6232"/>
        <w:tblGridChange w:id="0">
          <w:tblGrid>
            <w:gridCol w:w="2552"/>
            <w:gridCol w:w="6232"/>
          </w:tblGrid>
        </w:tblGridChange>
      </w:tblGrid>
      <w:tr>
        <w:trPr>
          <w:cantSplit w:val="0"/>
          <w:trHeight w:val="282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5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1) DISCIPLINA: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/>
          <w:p w:rsidR="00000000" w:rsidDel="00000000" w:rsidP="00000000" w:rsidRDefault="00000000" w:rsidRPr="00000000" w14:paraId="00000007">
            <w:pPr>
              <w:shd w:fill="ffffff" w:val="clear"/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DISCIPLINA </w:t>
            </w:r>
          </w:p>
        </w:tc>
        <w:tc>
          <w:tcPr/>
          <w:p w:rsidR="00000000" w:rsidDel="00000000" w:rsidP="00000000" w:rsidRDefault="00000000" w:rsidRPr="00000000" w14:paraId="00000008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Tópicos especiais em epistemes: Questões estéticas no idealismo alemão</w:t>
            </w:r>
          </w:p>
        </w:tc>
      </w:tr>
      <w:tr>
        <w:trPr>
          <w:cantSplit w:val="0"/>
          <w:trHeight w:val="253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shd w:fill="ffffff" w:val="clear"/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ÊNFASE</w:t>
            </w:r>
          </w:p>
        </w:tc>
        <w:tc>
          <w:tcPr/>
          <w:p w:rsidR="00000000" w:rsidDel="00000000" w:rsidP="00000000" w:rsidRDefault="00000000" w:rsidRPr="00000000" w14:paraId="0000000A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Questões estéticas no idealismo alemão</w:t>
            </w:r>
          </w:p>
        </w:tc>
      </w:tr>
      <w:tr>
        <w:trPr>
          <w:cantSplit w:val="0"/>
          <w:trHeight w:val="20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shd w:fill="ffffff" w:val="clear"/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CURSO (NÍVEL)</w:t>
            </w:r>
          </w:p>
        </w:tc>
        <w:tc>
          <w:tcPr/>
          <w:p w:rsidR="00000000" w:rsidDel="00000000" w:rsidP="00000000" w:rsidRDefault="00000000" w:rsidRPr="00000000" w14:paraId="0000000C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Mestrado e Doutorado</w:t>
            </w:r>
          </w:p>
        </w:tc>
      </w:tr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shd w:fill="ffffff" w:val="clear"/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CÓDIGO</w:t>
            </w:r>
          </w:p>
        </w:tc>
        <w:tc>
          <w:tcPr/>
          <w:p w:rsidR="00000000" w:rsidDel="00000000" w:rsidP="00000000" w:rsidRDefault="00000000" w:rsidRPr="00000000" w14:paraId="0000000E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shd w:fill="ffffff" w:val="clear"/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CARGA HORÁRIA </w:t>
            </w:r>
          </w:p>
        </w:tc>
        <w:tc>
          <w:tcPr/>
          <w:p w:rsidR="00000000" w:rsidDel="00000000" w:rsidP="00000000" w:rsidRDefault="00000000" w:rsidRPr="00000000" w14:paraId="00000010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60h</w:t>
            </w:r>
          </w:p>
        </w:tc>
      </w:tr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shd w:fill="ffffff" w:val="clear"/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CRÉDITOS</w:t>
            </w:r>
          </w:p>
        </w:tc>
        <w:tc>
          <w:tcPr/>
          <w:p w:rsidR="00000000" w:rsidDel="00000000" w:rsidP="00000000" w:rsidRDefault="00000000" w:rsidRPr="00000000" w14:paraId="00000012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</w:t>
            </w:r>
          </w:p>
        </w:tc>
      </w:tr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shd w:fill="ffffff" w:val="clear"/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PERÍODO LETIVO</w:t>
            </w:r>
          </w:p>
        </w:tc>
        <w:tc>
          <w:tcPr/>
          <w:p w:rsidR="00000000" w:rsidDel="00000000" w:rsidP="00000000" w:rsidRDefault="00000000" w:rsidRPr="00000000" w14:paraId="00000014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2026-1</w:t>
            </w:r>
          </w:p>
        </w:tc>
      </w:tr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shd w:fill="ffffff" w:val="clear"/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DOCENTE(S)</w:t>
            </w:r>
          </w:p>
        </w:tc>
        <w:tc>
          <w:tcPr/>
          <w:p w:rsidR="00000000" w:rsidDel="00000000" w:rsidP="00000000" w:rsidRDefault="00000000" w:rsidRPr="00000000" w14:paraId="00000016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Adriano Bueno Kurle</w:t>
            </w:r>
          </w:p>
        </w:tc>
      </w:tr>
    </w:tbl>
    <w:p w:rsidR="00000000" w:rsidDel="00000000" w:rsidP="00000000" w:rsidRDefault="00000000" w:rsidRPr="00000000" w14:paraId="00000017">
      <w:pPr>
        <w:shd w:fill="ffffff" w:val="clea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784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8784"/>
        <w:tblGridChange w:id="0">
          <w:tblGrid>
            <w:gridCol w:w="8784"/>
          </w:tblGrid>
        </w:tblGridChange>
      </w:tblGrid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2) EMENTA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O curso estuda e discute temas estéticos modernos como juízo de gosto, crítica de arte, autonomia, gênio, historicidade da arte  gêneros poéticos, mímesis e contrapontos entre o moderno e o clássico a partir de autores do idealismo alemão, como Kant, Schiller, F. Schlegel, A. Schlegel, Creuzer e Hegel, considerando a influência de autores como Winckelmann e Baumgarten. A partir desse panorama conceitual, busca-se situar os temas na situação contemporânea. 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shd w:fill="ffffff" w:val="clea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784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8784"/>
        <w:tblGridChange w:id="0">
          <w:tblGrid>
            <w:gridCol w:w="8784"/>
          </w:tblGrid>
        </w:tblGridChange>
      </w:tblGrid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3) OBJETIVOS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" w:hRule="atLeast"/>
          <w:tblHeader w:val="0"/>
        </w:trPr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Geral: Apresentar, discutir e interpretar concepções estéticas em autores chave do idealismo alemão a partir de tópicos específicos. 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Específicos: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– identificar os autores trabalhados e os principais conceitos nos textos selecionados; 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– situar autores do idealismo alemão em seu contexto histórico diante dos problemas da estética e da arte; 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– reconhecer os principais traços de pensamento estético de cada autor trabalhado;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– lembrar de conceitos, argumentos e discussões relevantes no cenário da estética do idealismo alemão; 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– reconstruir argumentação de textos e discussões em estética e filosofia da arte; 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– identificar contra-argumentos em textos de filósofos que respondem a outros filósofos; 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– situar argumentos e contra-argumentos em contextos mais amplos de discussão entre filósofos; 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– reconhecer a diversidade e a riqueza de ideias discutidas na estética e na filosofia da arte; 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– posicionar-se criticamente diante das ideias e propostas sobre estética e arte, mediante análise filosófica das fontes e argumentação; 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– capacidade de relacionar análise de obras de arte e eventos estéticos diversos com a filosofia e a abordagem conceitual.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shd w:fill="ffffff" w:val="clea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784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8784"/>
        <w:tblGridChange w:id="0">
          <w:tblGrid>
            <w:gridCol w:w="8784"/>
          </w:tblGrid>
        </w:tblGridChange>
      </w:tblGrid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30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4) CONTEÚDO PROGRAMÁTICO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I – Apresentação da disciplina e discussão do plano de ensino.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II – Contexto histórico e antecedentes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III – Kant e o juízo de gosto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IV – Schiller, a recepção de Kant e a educação estética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V – ironia, poesia e literatura em F. Schlegel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VI – A. Schlegel e a sistematização das artes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VII – Hegel e o processo histórico da arte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VIII – Seminários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tbl>
      <w:tblPr>
        <w:tblStyle w:val="Table5"/>
        <w:tblW w:w="8784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8784"/>
        <w:tblGridChange w:id="0">
          <w:tblGrid>
            <w:gridCol w:w="8784"/>
          </w:tblGrid>
        </w:tblGridChange>
      </w:tblGrid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42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5) METODOLOGIA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" w:hRule="atLeast"/>
          <w:tblHeader w:val="0"/>
        </w:trPr>
        <w:tc>
          <w:tcPr/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O estudo se desenvolve por meio de aulas expositivas, análise em conjunto de textos filosóficos (onde se busca compreender, de maneira rigorosa, o problema e a argumentação apresentados pelos filósofos ou pelas filósofas, assim como o contexto, histórico e conceitual, no qual se apresenta) e por meio de leituras e análises textuais prévias às aulas. As aulas envolvem exposições do professor, levantamento de questões, discussões, e análise conjunta e individual de textos e argumentos. Os estudantes deverão realizar pesquisa que será apresentada em seminário e trabalho escrito ao final (individual ou em grupo, a depender do tamanho da turma).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6">
      <w:pPr>
        <w:shd w:fill="ffffff" w:val="clea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hd w:fill="ffffff" w:val="clea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8784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8784"/>
        <w:tblGridChange w:id="0">
          <w:tblGrid>
            <w:gridCol w:w="8784"/>
          </w:tblGrid>
        </w:tblGridChange>
      </w:tblGrid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48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6) PROGRAMAÇÃO/CRONOGRAMA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" w:hRule="atLeast"/>
          <w:tblHeader w:val="0"/>
        </w:trPr>
        <w:tc>
          <w:tcPr/>
          <w:p w:rsidR="00000000" w:rsidDel="00000000" w:rsidP="00000000" w:rsidRDefault="00000000" w:rsidRPr="00000000" w14:paraId="00000049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(Textos e datas a definir)</w:t>
            </w:r>
          </w:p>
          <w:p w:rsidR="00000000" w:rsidDel="00000000" w:rsidP="00000000" w:rsidRDefault="00000000" w:rsidRPr="00000000" w14:paraId="0000004A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Aula 1 – Apresentação da disciplina e discussão do plano de ensino</w:t>
            </w:r>
          </w:p>
          <w:p w:rsidR="00000000" w:rsidDel="00000000" w:rsidP="00000000" w:rsidRDefault="00000000" w:rsidRPr="00000000" w14:paraId="0000004C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Aula 2 – Contexto histórico e antecedentes</w:t>
            </w:r>
          </w:p>
          <w:p w:rsidR="00000000" w:rsidDel="00000000" w:rsidP="00000000" w:rsidRDefault="00000000" w:rsidRPr="00000000" w14:paraId="0000004E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Aula 3 – Kant e o juízo de gosto, 1</w:t>
            </w:r>
          </w:p>
          <w:p w:rsidR="00000000" w:rsidDel="00000000" w:rsidP="00000000" w:rsidRDefault="00000000" w:rsidRPr="00000000" w14:paraId="00000050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Aula 4 –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Kant e o juízo de gosto, 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Aula 5 – Schiller, a recepção de Kant e a educação</w:t>
            </w:r>
          </w:p>
          <w:p w:rsidR="00000000" w:rsidDel="00000000" w:rsidP="00000000" w:rsidRDefault="00000000" w:rsidRPr="00000000" w14:paraId="00000054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Aula 6 – ironia, poesia e literatura em F. Schlegel</w:t>
            </w:r>
          </w:p>
          <w:p w:rsidR="00000000" w:rsidDel="00000000" w:rsidP="00000000" w:rsidRDefault="00000000" w:rsidRPr="00000000" w14:paraId="00000056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Aula 7 –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ironia, poesia e literatura em F. Schlegel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Aula 8 – A. Schlegel e a sistematização das artes</w:t>
            </w:r>
          </w:p>
          <w:p w:rsidR="00000000" w:rsidDel="00000000" w:rsidP="00000000" w:rsidRDefault="00000000" w:rsidRPr="00000000" w14:paraId="0000005A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Aula 9 –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A. Schlegel e a sistematização das artes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Aula 10 – Hegel e o processo histórico da arte, 1: a historicidade da arte. As influências de Winckelmann e Creuzer</w:t>
            </w:r>
          </w:p>
          <w:p w:rsidR="00000000" w:rsidDel="00000000" w:rsidP="00000000" w:rsidRDefault="00000000" w:rsidRPr="00000000" w14:paraId="0000005E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Aula 11 –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Hegel e o processo histórico da arte, 2: as formas particulares de arte. Arte simbólica e arte clássica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Aula 12 –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Hegel e o processo histórico da arte, 3: arte romântica e modernidade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Aula 13 – Seminário I</w:t>
            </w:r>
          </w:p>
          <w:p w:rsidR="00000000" w:rsidDel="00000000" w:rsidP="00000000" w:rsidRDefault="00000000" w:rsidRPr="00000000" w14:paraId="00000064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Aula 14 – Seminário II </w:t>
            </w:r>
          </w:p>
          <w:p w:rsidR="00000000" w:rsidDel="00000000" w:rsidP="00000000" w:rsidRDefault="00000000" w:rsidRPr="00000000" w14:paraId="00000066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Aula 15 – Seminário III </w:t>
            </w:r>
          </w:p>
          <w:p w:rsidR="00000000" w:rsidDel="00000000" w:rsidP="00000000" w:rsidRDefault="00000000" w:rsidRPr="00000000" w14:paraId="00000068">
            <w:pPr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9">
      <w:pPr>
        <w:shd w:fill="ffffff" w:val="clea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hd w:fill="ffffff" w:val="clea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8784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8784"/>
        <w:tblGridChange w:id="0">
          <w:tblGrid>
            <w:gridCol w:w="8784"/>
          </w:tblGrid>
        </w:tblGridChange>
      </w:tblGrid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6B">
            <w:pPr>
              <w:shd w:fill="ffffff" w:val="clear"/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7) AVALIAÇÃO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" w:hRule="atLeast"/>
          <w:tblHeader w:val="0"/>
        </w:trPr>
        <w:tc>
          <w:tcPr/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 avaliação diagnóstica será elaborada via contato em aula, por meio de conversas e atividades, sem valor em nota. A avaliação formativa considerará a frequência e a participação em aula. A avaliação somativa envolve atribuição de nota à apresentação no seminário e ao ensaio final escrito. A avaliação atribuirá conceitos A, B, C e D, de modo que os três primeiros implicam em aprovação,  enquanto o D implica em reprovação. 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O seminário envolve apresentação de um estudo relacionado com os tópicos da disciplina, visando vincular a teoria estética estudada com a prática de artes, com a crítica de artes, com a crítica social ou com o ensino de filosofia. As sugestões e críticas da discussão posterior à apresentação do semindeverão ser consideradas para a reelaboração crítica do trabalho a ser apresentado de forma escrita.</w:t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O ensaio final (extraclasse) deve conter um tópico específico (idêntico ao do seminário) e ser escrito em no mínimo 4 e no máximo 10 páginas, sem contar elementos pré-textuais (que são dispensáveis) e bibliografia. Este ensaio deve ter ao menos um texto como referência central, e ao menos outros quatro elementos bibliográficos complementares (entre artigos, capítulos de livro ou livros). Deve-se formatar o texto com fonte Times New Roman tamanho 12, espaçamento 1,5,  com recuo de página para a esquerda de 4 cm, fonte tamanho 10 e espaçamento simples para citações longas (mais de três linhas). As referências devem seguir as normas ABNT NBR 6023:2018 e NBR 10520:2023.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shd w:fill="ffffff" w:val="clea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hd w:fill="ffffff" w:val="clea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8784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8784"/>
        <w:tblGridChange w:id="0">
          <w:tblGrid>
            <w:gridCol w:w="8784"/>
          </w:tblGrid>
        </w:tblGridChange>
      </w:tblGrid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74">
            <w:pPr>
              <w:shd w:fill="ffffff" w:val="clear"/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8) BIBLIOGRAFIA </w:t>
            </w:r>
          </w:p>
        </w:tc>
      </w:tr>
      <w:tr>
        <w:trPr>
          <w:cantSplit w:val="0"/>
          <w:trHeight w:val="60" w:hRule="atLeast"/>
          <w:tblHeader w:val="0"/>
        </w:trPr>
        <w:tc>
          <w:tcPr/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Básica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BAUMGARTEN, A.G. Estética: A lógica da arte do poema. Miriam S. Medeiros (trad.), Vozes, Petrópolis, 1993.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GALÉ, Pedro Fernandes. Winckelmann: uma história da arte entre a norma e a forma. 2016. Tese (Doutorado em Filosofia) - Faculdade de Filosofia, Letras e Ciências Humanas, Universidade de São Paulo, São Paulo, 2016. doi:10.11606/T.8.2016.tde-24112016-124755.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HEGEL, Georg Wilhelm Friedrich. Cursos de estetica. 2. ed. Volumes I-IV. São Paulo: EDUSP, 2001-2005.</w:t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KANT, I. Crítica da Faculdade de Julgar. Tradução de Fernando Costa Mattos. Petrópolis: Editora Vozes, 2016.</w:t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SCHILLER. F. A educação estética do homem. São Paulo. Illuminuras, 2002.</w:t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SCHLEGEL, A. Doutrina da Arte. São Paulo: EDUSP, 2014.</w:t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SCHLEGEL, F. Fragmentos sobre poesia e literatura (1797-1803): Conversa sobre poesia. São Paulo: Editora UNESP, 2016.</w:t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SCHLEGEL, F. Sobre o estudo da poesia grega. São Paulo: Illuminuras, 2021.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TOLLE, O. O nascimento da estética no sec. XVIII. São Paulo: Editora Clandestina, 2015.</w:t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VIEIRA, Marco Antonio Ramos. História(s) Da Arte E O Sintoma Alegórico: Por Uma Releitura De Winckelmann. Tese (doutorado)—Universidade de Brasília, Instituto de Artes, Programa de Pós-Graduação em Artes, 2018.</w:t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Complementar:</w:t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BURKE, E. Uma investigação filosófica sobre a origem de nossas ideias do sublime e do belo. Tradução, apresentação, notas de Enid Abreu Dobránszky. Campinas, SP : Papirus: Editora da Universidade de Campinas, 1993.</w:t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CREUZER, F. </w:t>
            </w:r>
            <w:r w:rsidDel="00000000" w:rsidR="00000000" w:rsidRPr="00000000">
              <w:rPr>
                <w:rFonts w:ascii="Arial" w:cs="Arial" w:eastAsia="Arial" w:hAnsi="Arial"/>
                <w:color w:val="2c2c2c"/>
                <w:sz w:val="22"/>
                <w:szCs w:val="22"/>
                <w:highlight w:val="white"/>
                <w:rtl w:val="0"/>
              </w:rPr>
              <w:t xml:space="preserve">Friedrich Creuzers Symbolik und Mythologie der alten Völker besonders der Griechen. Leipzig, Darmstadt: C. W. Leske, 1822.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JAMES, David. Art, Myth and Society in Hegels Aesthetics. London: Continuum, 2009.</w:t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FIGUEIREDO, Virginia. Arte após o fim da natureza. Viso: Cadernos de estética aplicada, v. 17, n° 32 (jan-jun/2023), p. 1-40. DOI: 10.22409/1981-4062/v32i/515</w:t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FREITAS, Verlaine. A subjetividade estética em Kant: da apreciação da beleza ao gênio artístico. Veritas (Porto Alegre), Porto Alegre, v. 48, n.2, p. 253-276, 2003.</w:t>
              <w:tab/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FREITAS, Verlaine. Forma. ESTUDOS KANTIANOS, v. 6, p. 59-62, 2018.</w:t>
              <w:tab/>
            </w:r>
          </w:p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FREITAS, Verlaine. Conformidade a fins. ESTUDOS KANTIANOS, v. 6, p. 63-66, 2018.</w:t>
              <w:tab/>
            </w:r>
          </w:p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FREITAS, Verlaine. Comprazimento. ESTUDOS KANTIANOS, v. 6, p. 67-71, 2018.</w:t>
              <w:tab/>
            </w:r>
          </w:p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HAMM, Christian Viktor. 'Jogo Livre' e 'sentido comum' na teoria estética kantiana. ESTUDOS KANTIANOS, v. 5, p. 77, 2017.</w:t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HAMM, Christian Viktor. 'Jogo livre' e a 'sensificação de idéias' na Crítica do Juízo de Kant. Studia Kantiana, v. 19, p. 89-103, 2015.</w:t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HAMM, C. Sobre o juízo de gosto e sua fundamentação a priori. REVISTA PORTUGUESA DE FILOSOFIA, v. 75, p. 2207-2228, 2020.</w:t>
            </w:r>
          </w:p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HEGEL, G. W. F. Enciclopédia das Ciências Filosóficas em compêndio: 1830: Volume III: A Filosofia do Espírito. Tradução de José Machado e Paulo Meneses. São Paulo: Loyola, 1995.</w:t>
            </w:r>
          </w:p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KANT. Immanuel. Observações sobre o sentimento do belo e do sublime; Ensaio sobre as doenças mentais. Tradução e estudo de Vinicius de Figueiredo. São Paulo: Editora Clandestina, 2018. </w:t>
            </w:r>
            <w:hyperlink r:id="rId6">
              <w:r w:rsidDel="00000000" w:rsidR="00000000" w:rsidRPr="00000000">
                <w:rPr>
                  <w:rFonts w:ascii="Calibri" w:cs="Calibri" w:eastAsia="Calibri" w:hAnsi="Calibri"/>
                  <w:color w:val="1155cc"/>
                  <w:sz w:val="24"/>
                  <w:szCs w:val="24"/>
                  <w:u w:val="single"/>
                  <w:rtl w:val="0"/>
                </w:rPr>
                <w:t xml:space="preserve">https://www.editoraclandestina.org/_files/ugd/3adc88_045dc4023270449085ea95a217a6324d.pdf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shd w:fill="ffffff" w:val="clear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KURLE, ADRIANO BUENO. A Fantasia de carnaval: Um ensaio a partir de Hegel e Freud. REVISTA EXTRAPRENSA, v. 14, p. 193-211, 2020. </w:t>
            </w:r>
            <w:hyperlink r:id="rId7">
              <w:r w:rsidDel="00000000" w:rsidR="00000000" w:rsidRPr="00000000">
                <w:rPr>
                  <w:rFonts w:ascii="Calibri" w:cs="Calibri" w:eastAsia="Calibri" w:hAnsi="Calibri"/>
                  <w:color w:val="1155cc"/>
                  <w:sz w:val="24"/>
                  <w:szCs w:val="24"/>
                  <w:u w:val="single"/>
                  <w:rtl w:val="0"/>
                </w:rPr>
                <w:t xml:space="preserve">http://dx.doi.org/10.11606/extraprensa2021.173536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KURLE, Adriano. Hegel e a importância da arte na democracia contemporânea. In: Fábio Caires Correia, João Paulo Simões Vilas Bôas, Igor Adolfo Assaf Mendes. (Org.). Sobre a(s) democracia(s): teorias, modelos, críticas. 1ed. Porto Alegre: Editora Fundação Fênix, 2024, v. 1, p. 167-198. </w:t>
            </w:r>
            <w:hyperlink r:id="rId8">
              <w:r w:rsidDel="00000000" w:rsidR="00000000" w:rsidRPr="00000000">
                <w:rPr>
                  <w:rFonts w:ascii="Calibri" w:cs="Calibri" w:eastAsia="Calibri" w:hAnsi="Calibri"/>
                  <w:color w:val="1155cc"/>
                  <w:sz w:val="24"/>
                  <w:szCs w:val="24"/>
                  <w:u w:val="single"/>
                  <w:rtl w:val="0"/>
                </w:rPr>
                <w:t xml:space="preserve">http://dx.doi.org/10.36592/9786554601290-07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KURLE, A. B. Individuo y sociedad moderna. Interpretación de la tensión en la filosofía del arte de Hegel. In: GIUSTI, M; HOFFMANN, T. S., BAVARESCO, A.. (Org.). Hegel y el círculo de las ciencias: Actas del III Congreso Germano-Latinoamericano sobre la Filosofía de Hegel. 1ª ed. Porto Alegre: Editora Fundação Fênix, 2023, v. 2, p. 379-393. </w:t>
            </w:r>
            <w:hyperlink r:id="rId9">
              <w:r w:rsidDel="00000000" w:rsidR="00000000" w:rsidRPr="00000000">
                <w:rPr>
                  <w:rFonts w:ascii="Calibri" w:cs="Calibri" w:eastAsia="Calibri" w:hAnsi="Calibri"/>
                  <w:color w:val="1155cc"/>
                  <w:sz w:val="24"/>
                  <w:szCs w:val="24"/>
                  <w:u w:val="single"/>
                  <w:rtl w:val="0"/>
                </w:rPr>
                <w:t xml:space="preserve">http://dx.doi.org/10.36592/9786554600750-22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KURLE, Adriano. O anacronismo do mito em Hegel e o Brasil do bolsonarismo. In: SOUZA, R. T. de; PERIUS, Oneide; FREITAS, Isis H. de; PONTEL, Evandro; TAUCHEN, Jair.. (Org.). A Tentação Ancestral: A questão histórico-cultural do tema da Idolatria ao longo dos séculos e sua relevância na contemporaneidade. 1ed.Porto Alegre - RS: Editora Fundação Fênix, 2020, v. 1, p. 13-29. </w:t>
            </w:r>
            <w:hyperlink r:id="rId10">
              <w:r w:rsidDel="00000000" w:rsidR="00000000" w:rsidRPr="00000000">
                <w:rPr>
                  <w:rFonts w:ascii="Calibri" w:cs="Calibri" w:eastAsia="Calibri" w:hAnsi="Calibri"/>
                  <w:color w:val="1155cc"/>
                  <w:sz w:val="24"/>
                  <w:szCs w:val="24"/>
                  <w:u w:val="single"/>
                  <w:rtl w:val="0"/>
                </w:rPr>
                <w:t xml:space="preserve">http://dx.doi.org/10.36592/9786587424057-1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LINO, Alice de Carvalho. Kant e De Duve: crítica à recepção dos ready-mades de Duchamp. ARTEFILOSOFIA (UFOP), v. I, p. 46-71, 2016.</w:t>
            </w:r>
          </w:p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LINO, Alice de Carvalho. A pintura 'sublime' de Barnett Newman. Viso: Cadernos de Estética Aplicada, v. 18, p. 60-82, 2016.</w:t>
            </w:r>
          </w:p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LINO, Alice de Carvalho. Kant e o modernismo. Rapsódia (USP), v. 8, p. 79-106, 2015.</w:t>
            </w:r>
          </w:p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PINKARD, Terry. “Symbolic, Classical, and Romantic Art.” Hegel and the Arts, edited by Stephen Houlgate, Northwestern University Press, 2007, pp. 3–28. JSTOR, https://doi.org/10.2307/j.ctv47w25b.5. Accessed 25 Nov. 2025.</w:t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PINKARD, T. German Philosophy 1760-1860: the legacy of idealism. New York: </w:t>
            </w:r>
          </w:p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Cambridge University Press, 2010.</w:t>
            </w:r>
          </w:p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PIPPIN, Robert. After the Beautiful: Hegel and the Philosophy of Pictorial Modernism.</w:t>
            </w:r>
          </w:p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Chicago: The University of Chicago Press, 2014.</w:t>
            </w:r>
          </w:p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PIPPIN, Robert. What Was Abstract Art? (From the Point</w:t>
            </w:r>
          </w:p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of View of Hegel). In: PIPPIN, Robert: The Persistence of Subjectivity</w:t>
            </w:r>
          </w:p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On the Kantian Aftermath, Cambridge University Press, New York, 2005, pp. 279 – 306.</w:t>
            </w:r>
          </w:p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VIEIRA, Vladimir. Arte bela ou arte mista? Kant sobre a música. Studia Kantiana, [S.l.], v. 17, n. 2, p. 29-42, jun. 2023. ISSN 2317-7462. Disponível em: &lt;https://revistas.ufpr.br/studiakantiana/article/view/89930&gt;. Acesso em: 09 maio 2024. doi:http://dx.doi.org/10.5380/sk.v17i2.89930.</w:t>
            </w:r>
          </w:p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VIEIRA, Vladimir. “Kant além da natureza e da liberdade”. Viso: Cadernos de estética aplicada, v. 17, n° 32 (jan-jun/2023), p. 41-55. DOI: 10.22409/1981-4062/v32i/543</w:t>
            </w:r>
          </w:p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WERLE, M. A.; GALÉ, P. F. (Org.) . Arte e filosofia no idealismo alemão. São Paulo: Barcarolla, 2009.</w:t>
            </w:r>
          </w:p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WERLE, M. A.. A aparência sensível da ideia. 1. ed. São Paulo: Loyola, 2013.</w:t>
            </w:r>
          </w:p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WERLE, M. A.. A poesia na estética de Hegel. São Paulo: Humanitas, 2005.</w:t>
            </w:r>
          </w:p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WERLE, M. A.. A questão do fim da arte em Hegel. São Paulo: Hedra, 2011.</w:t>
            </w:r>
          </w:p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shd w:fill="ffffff" w:val="clear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WINCKELMANN, Johann. Anmerkungen über die Geschichte der Kunst des Alterthums. Dresden: In der Waltherischen Hof-Buchhandlungen, 1767.  </w:t>
            </w:r>
            <w:hyperlink r:id="rId11">
              <w:r w:rsidDel="00000000" w:rsidR="00000000" w:rsidRPr="00000000">
                <w:rPr>
                  <w:rFonts w:ascii="Arial" w:cs="Arial" w:eastAsia="Arial" w:hAnsi="Arial"/>
                  <w:color w:val="1155cc"/>
                  <w:sz w:val="22"/>
                  <w:szCs w:val="22"/>
                  <w:u w:val="single"/>
                  <w:rtl w:val="0"/>
                </w:rPr>
                <w:t xml:space="preserve">https://archive.org/details/bub_gb_xgIFAAAAMAAJ/page/n2/mode/1up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WINCKELMANN, Johann. Geschichte der Kunst des Alterthums. Wien: Im Akademischen Verlage, 1776. </w:t>
            </w:r>
            <w:hyperlink r:id="rId12">
              <w:r w:rsidDel="00000000" w:rsidR="00000000" w:rsidRPr="00000000">
                <w:rPr>
                  <w:rFonts w:ascii="Arial" w:cs="Arial" w:eastAsia="Arial" w:hAnsi="Arial"/>
                  <w:color w:val="1155cc"/>
                  <w:sz w:val="22"/>
                  <w:szCs w:val="22"/>
                  <w:u w:val="single"/>
                  <w:rtl w:val="0"/>
                </w:rPr>
                <w:t xml:space="preserve">https://archive.org/details/gri_johannwinkel01winc/page/n3/mode/1up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WINCKELMANN, Johann. Gedanken über die Nachahmung der griechischen Werke in der Malerei und Bildhauerkunst. Stuttgart: G. J. Göschen'sche Verlagshandlung, 1885. </w:t>
            </w:r>
            <w:hyperlink r:id="rId13">
              <w:r w:rsidDel="00000000" w:rsidR="00000000" w:rsidRPr="00000000">
                <w:rPr>
                  <w:rFonts w:ascii="Arial" w:cs="Arial" w:eastAsia="Arial" w:hAnsi="Arial"/>
                  <w:color w:val="1155cc"/>
                  <w:sz w:val="22"/>
                  <w:szCs w:val="22"/>
                  <w:u w:val="single"/>
                  <w:rtl w:val="0"/>
                </w:rPr>
                <w:t xml:space="preserve">https://archive.org/details/gedankenberdie00wincuoft/page/n59/mode/1up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2">
            <w:pPr>
              <w:shd w:fill="ffffff" w:val="clear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WINCKELMANN, Johann. Reflections on the paint</w:t>
            </w:r>
            <w:r w:rsidDel="00000000" w:rsidR="00000000" w:rsidRPr="00000000">
              <w:rPr>
                <w:rFonts w:ascii="Arial" w:cs="Arial" w:eastAsia="Arial" w:hAnsi="Arial"/>
                <w:color w:val="2c2c2c"/>
                <w:sz w:val="22"/>
                <w:szCs w:val="22"/>
                <w:highlight w:val="white"/>
                <w:rtl w:val="0"/>
              </w:rPr>
              <w:t xml:space="preserve">ing and sculpture of the Greeks: with instructions for the connoisseur, and an essay on grace in works of art. London: Printed for the Translator, and sold by A. Millar, 1765.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WINCKELMANN, J. J. Reflexões sobre a imitação das obras gregas na pintura e na </w:t>
            </w:r>
          </w:p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escultura. Porto Alegre, Movimento, UFRGS, 1975.</w:t>
            </w:r>
          </w:p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WINCKELMANN, J. J. History of the art of Antiquity. Los Angeles: Texts and </w:t>
            </w:r>
          </w:p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Documents, 2006. Disponível em: http://books.google.com.br/books?hl=pt-</w:t>
            </w:r>
          </w:p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BR&amp;lr=&amp;id=mbWo3EaeGPEC&amp;oi=fnd&amp;pg=PR9&amp;dq=+History+of+the+art+of+Antiquity&amp;ots=-rZpJ_kQnM&amp;sig=kAgG30bQ4CeDesLTTxSvb0lJRsg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#v=onepage&amp;q&amp;f=false </w:t>
            </w:r>
          </w:p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C">
      <w:pPr>
        <w:shd w:fill="ffffff" w:val="clea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4" w:type="default"/>
      <w:pgSz w:h="16838" w:w="11906" w:orient="portrait"/>
      <w:pgMar w:bottom="1417" w:top="1417" w:left="1701" w:right="17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4"/>
        <w:szCs w:val="4"/>
        <w:u w:val="none"/>
        <w:shd w:fill="auto" w:val="clear"/>
        <w:vertAlign w:val="baseline"/>
      </w:rPr>
      <w:drawing>
        <wp:anchor allowOverlap="1" behindDoc="0" distB="0" distT="0" distL="114300" distR="114300" hidden="0" layoutInCell="1" locked="0" relativeHeight="0" simplePos="0">
          <wp:simplePos x="0" y="0"/>
          <wp:positionH relativeFrom="margin">
            <wp:posOffset>-1071879</wp:posOffset>
          </wp:positionH>
          <wp:positionV relativeFrom="margin">
            <wp:posOffset>-1077775</wp:posOffset>
          </wp:positionV>
          <wp:extent cx="7543800" cy="892175"/>
          <wp:effectExtent b="0" l="0" r="0" t="0"/>
          <wp:wrapSquare wrapText="bothSides" distB="0" distT="0" distL="114300" distR="114300"/>
          <wp:docPr descr="Desenho de um círculo&#10;&#10;Descrição gerada automaticamente com confiança baixa" id="1" name="image1.png"/>
          <a:graphic>
            <a:graphicData uri="http://schemas.openxmlformats.org/drawingml/2006/picture">
              <pic:pic>
                <pic:nvPicPr>
                  <pic:cNvPr descr="Desenho de um círculo&#10;&#10;Descrição gerada automaticamente com confiança baixa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43800" cy="8921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pt_P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rPr>
      <w:rFonts w:ascii="Times New Roman" w:cs="Times New Roman" w:eastAsia="Times New Roman" w:hAnsi="Times New Roman"/>
      <w:color w:val="00000a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rPr>
      <w:rFonts w:ascii="Times New Roman" w:cs="Times New Roman" w:eastAsia="Times New Roman" w:hAnsi="Times New Roman"/>
      <w:color w:val="00000a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rPr>
      <w:rFonts w:ascii="Times New Roman" w:cs="Times New Roman" w:eastAsia="Times New Roman" w:hAnsi="Times New Roman"/>
      <w:color w:val="00000a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rPr>
      <w:rFonts w:ascii="Times New Roman" w:cs="Times New Roman" w:eastAsia="Times New Roman" w:hAnsi="Times New Roman"/>
      <w:color w:val="00000a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rPr>
      <w:rFonts w:ascii="Times New Roman" w:cs="Times New Roman" w:eastAsia="Times New Roman" w:hAnsi="Times New Roman"/>
      <w:color w:val="00000a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rPr>
      <w:rFonts w:ascii="Times New Roman" w:cs="Times New Roman" w:eastAsia="Times New Roman" w:hAnsi="Times New Roman"/>
      <w:color w:val="00000a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rPr>
      <w:rFonts w:ascii="Times New Roman" w:cs="Times New Roman" w:eastAsia="Times New Roman" w:hAnsi="Times New Roman"/>
      <w:color w:val="00000a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rPr>
      <w:rFonts w:ascii="Times New Roman" w:cs="Times New Roman" w:eastAsia="Times New Roman" w:hAnsi="Times New Roman"/>
      <w:color w:val="00000a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archive.org/details/bub_gb_xgIFAAAAMAAJ/page/n2/mode/1up" TargetMode="External"/><Relationship Id="rId10" Type="http://schemas.openxmlformats.org/officeDocument/2006/relationships/hyperlink" Target="http://dx.doi.org/10.36592/9786587424057-1" TargetMode="External"/><Relationship Id="rId13" Type="http://schemas.openxmlformats.org/officeDocument/2006/relationships/hyperlink" Target="https://archive.org/details/gedankenberdie00wincuoft/page/n59/mode/1up" TargetMode="External"/><Relationship Id="rId12" Type="http://schemas.openxmlformats.org/officeDocument/2006/relationships/hyperlink" Target="https://archive.org/details/gri_johannwinkel01winc/page/n3/mode/1up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dx.doi.org/10.36592/9786554600750-22" TargetMode="External"/><Relationship Id="rId14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hyperlink" Target="https://www.editoraclandestina.org/_files/ugd/3adc88_045dc4023270449085ea95a217a6324d.pdf" TargetMode="External"/><Relationship Id="rId7" Type="http://schemas.openxmlformats.org/officeDocument/2006/relationships/hyperlink" Target="http://dx.doi.org/10.11606/extraprensa2021.173536" TargetMode="External"/><Relationship Id="rId8" Type="http://schemas.openxmlformats.org/officeDocument/2006/relationships/hyperlink" Target="http://dx.doi.org/10.36592/9786554601290-07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